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477 vom 26. November 1991</w:t>
      </w:r>
    </w:p>
    <w:p>
      <w:r>
        <w:t>Bundesgericht (BGE), 1991-11-26, FR</w:t>
      </w:r>
    </w:p>
    <w:p>
      <w:r>
        <w:rPr>
          <w:b/>
        </w:rPr>
        <w:t xml:space="preserve">Quelle: </w:t>
      </w:r>
      <w:r>
        <w:t>https://mcp.opencaselaw.ch/entscheid/bge_117 IB 477</w:t>
      </w:r>
    </w:p>
    <w:p>
      <w:r>
        <w:t>FR: BGE 117 IB 477 du 26 novembre 1991</w:t>
      </w:r>
    </w:p>
    <w:p>
      <w:r>
        <w:t>IT: BGE 117 IB 477 del 26 novembre 1991</w:t>
      </w:r>
    </w:p>
    <w:p>
      <w:pPr>
        <w:pStyle w:val="Heading2"/>
      </w:pPr>
      <w:r>
        <w:t>Regeste</w:t>
      </w:r>
    </w:p>
    <w:p>
      <w:r>
        <w:t>Regeste Bewilligungspflicht gemäss BG über die Fischerei für die Einfassung eines Bachabschnitts in Rohre. Die Einfassung eines Bachabschnitts von 42 m in Rohre ist - selbst wenn sie eine bereits bestehende Bachverbauung vervollständigt - eine bewilligungspflichtige "Neuanlage" im Sinne der Art. 24 und 25 des BG über die Fischerei. Diese Bestimmungen, welche eine umfassende Abwägung der verschiedenen Interessen verlangen, regeln nicht nur die Ausübung der Fischerei, sondern sie stimmen zudem in ihrer Zielsetzung weitgehend mit den Art. 18 ff NHG überein. Im vorliegenden Falle überwiegt das Interesse am Schutz des Wasserlaufs.</w:t>
      </w:r>
    </w:p>
    <w:p>
      <w:pPr>
        <w:pStyle w:val="Heading2"/>
      </w:pPr>
      <w:r>
        <w:t>Erwägungen</w:t>
      </w:r>
    </w:p>
    <w:p>
      <w:r>
        <w:rPr>
          <w:b/>
        </w:rPr>
        <w:t>E. 3</w:t>
      </w:r>
    </w:p>
    <w:p>
      <w:r>
        <w:t>La recourante prétend que l'autorité cantonale a violé l'art. 25 de la loi fédérale sur la pêche en qualifiant de grave l'atteinte constituée par la réalisation d'un tronçon supplémentaire de canalisation; elle considère qu'il a été procédé à une pesée incorrecte des intérêts en jeu. a) La conservation des eaux piscicoles et leur protection des atteintes nuisibles constituent des buts de la loi fédérale sur la pêche (ci-après: la loi fédérale; art. 2 let. a). Afin d'atteindre ces buts, certaines dispositions de la loi tendent à la protection des biotopes (art. 22 ss). Ainsi, les interventions techniques - notamment la mise sous canalisation - qui ont pour conséquence de modifier les eaux ou leur régime, les cours d'eau ainsi que les rives et le fond des lacs, sont soumises à une autorisation spéciale (art. 24). L'art. 25 de la loi fédérale définit les mesures à prendre à l'occasion de l'octroi d'une autorisation pour une nouvelle installation. Cette législation fédérale n'a pas seulement pour but de régler l'exercice de la pêche par des mesures de police; il s'agit d'un instrument au service de la protection de l'environnement, qui correspond dans une large mesure au but visé par les art. 18 ss LPN , quand bien même ces deux lois poursuivent des objectifs différents ( ATF 112 Ib 431 consid. 3c). b) Le projet en cause est une "nouvelle installation" au sens des art. 24 al. 3 et 25 de la loi fédérale - ce que la recourante ne conteste pas - et il tend à modifier un cours d'eau. L'art. 25 al. 2 de la loi fédérale précise alors que si, dans l'examen d'un tel projet, "on ne peut trouver aucune mesure permettant d'empêcher qu'une atteinte grave ne soit portée aux intérêts de la pêche, la décision sera prise compte tenu de tous les intérêts en jeu". Il n'y a pas lieu ici de déterminer si une autre solution pour l'extension de la décharge, qui permettrait de maintenir à ciel ouvert le ruisseau de Malessert, serait effectivement réalisable, ou à tout le moins sans BGE 117 Ib 477 S. 480 coûts excessifs, comme le prétend la Ligue suisse pour la protection de la nature. La mise sous tuyaux d'un tronçon de 42 m, même en complément d'un voûtage existant, doit être considérée comme une atteinte grave aux intérêts de la pêche. Les rives naturelles et la végétation aquatique doivent en principe être préservées, en vertu de l'art. 22 de la loi fédérale, non seulement pour leur valeur paysagère (cf. art. 18 al. 1bis et 21 LPN , dont il faut tenir compte dans ce contexte), mais également pour leur rôle dans la reproduction des espèces et la protection des jeunes poissons. L'eau, le lit, les rives et les environs des cours d'eau constituent le biotope des poissons et autres organismes qui y vivent en permanence. Le fait que le ruisseau était pollué au moment où le Conseil d'Etat a statué ne permet pas de considérer l'atteinte comme de peu de gravité, d'autant qu'une amélioration est en passe de se réaliser. Il importe peu également que le débit en amont de la canalisation existante soit faible. De même, l'existence d'un voûtage sur un tronçon d'une certaine longueur n'est pas décisive: les atteintes déjà portées ne peuvent justifier une destruction plus importante des milieux que le législateur a voulu protéger (cf. ATF 111 Ib 308 ss, relatif au refus d'une autorisation de mise sous tuyaux, nonobstant la subsistance d'un voûtage réalisé antérieurement, avant l'entrée en vigueur de la loi fédérale). c) Il reste à examiner si, en dépit de la gravité de l'atteinte, les autres intérêts en jeu pourraient justifier le projet litigieux. A cet égard, la pesée des intérêts opérée par le Conseil d'Etat est convaincante. La commune recourante ne se trouve pas dans l'impossibilité de réaliser les travaux de génie civil qu'elle projette, car d'autres décharges pour matériaux inertes sont disponibles dans les environs. Cette dernière solution est à vrai dire plus coûteuse, mais l'intérêt financier de la recourante, certes non négligeable, ne saurait prévaloir sur les intérêts encore plus importants de la pêche et de la protection de la nature ( ATF 117 Ib 193 consid. 4cd, ATF 108 Ib 186 consid. 5c). Enfin, l'intérêt à l'amélioration des conditions d'exploitation agricole d'une surface de 2400 m2 située à 900 m d'altitude est trop restreint pour l'emporter sur la nécessité de protéger le cours d'eau. Les moyens de la recourante sont donc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